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b/>
          <w:color w:val="000000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b/>
          <w:color w:val="000000"/>
          <w:sz w:val="24"/>
          <w:szCs w:val="24"/>
        </w:rPr>
        <w:t>Marco Müller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Italic-Identity-H"/>
          <w:i/>
          <w:iCs/>
          <w:color w:val="000000"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 xml:space="preserve">Marco Müller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(Roma, 7 giugno 1953) è un critico cinematografico,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produttore cinematografico e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irettore artistico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italiano, dal 2004 al 2011 direttore artistico della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Mostra internazionale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'arte cinematografica di Venezia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e dal 2012 al 2014 del Festival internazionale del Film di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Roma.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1 Biografia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Di origini svizzere, da parte di padre, e brasiliane, greche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e egiziane, da parte di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madre[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1], inizia la sua formazione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nei primi anni settanta, studiando orientalistica 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antropologia all'università, con una successiva specializzazione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e dottorato di stato in Cina[1]. Terminati gli studi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inizia l'attività di ricercatore e docente, attraverso seminari,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corsi universitari e pubblicazioni di etnologia ed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etnomusicologia[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1]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Dall'inizio degli anni ottanta comincia a lavorare per il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cinema, prima come critico cinematografico, con articoli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su riviste del settore in Italia, Francia e Svizzera, poi come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autore e sceneggiatore per vari documentari Rai. Tra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la fine degli anni settanta e l'inizio degli anni ottanta inizia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la sua collaborazione con vari festival cinematografici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europei, come curatore della programmazione monografica.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Nel 1982 crea e dirige “Ombre elettriche”, primo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festival cinematografico della città di Torino incentrato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sulla storia del cinema cinese, successivamente diviene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responsabile del Mostra internazionale del Nuovo Cinema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di Pesaro, diventando poi direttore artistico del festival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dal 1986 al 1989. Dal 1980 al 1994 collabora inoltre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con la Mostra Internazionale d'Arte Cinematografica di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Venezia, curando la selezione dei film asiatici.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Dopo aver lavorato per altri festival europei, tra cui quello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di Rotterdam, all'inizio degli anni novanta fino la 2000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lavora come direttore artistico del Festival internazionale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del film di Locarno, rinnovando radicalmente il festival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con l'introduzione, accanto ai film in concorso, di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retrospettive e dibattiti.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In seguito diventa responsabile della sezione Film e Video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di Fabrica, il centro di ricerca sulla comunicazione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del Gruppo Benetton. Proprio grazie a questa esperienza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e al contatto con cineasti emergenti, Müller inizia la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nuova attività di produttore cinematografico, producendo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cortometraggi e lungometraggi per vari registi internazionali.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Italic-Identity-H"/>
          <w:i/>
          <w:iCs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Tra le pellicole da lui prodotte vi sono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Viaggio verso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il sole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Yesim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Ustaoglu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Moloch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di Aleksandr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Sokurov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No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Man’s</w:t>
      </w:r>
      <w:proofErr w:type="spellEnd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 Land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Danis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Tanovic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>, quest'ultimo vincitore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dell'Oscar 2002 per il miglior film straniero. Per Zhang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Yuan ha prodotto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Diciassette anni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e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La guerra dei fiori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rossi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Nel corso degli anni gestisce alcune case di produzione tra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l'Italia e la Svizzera, tiene corsi di Storia dell'Arte presso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l'Accademia d'Architettura dell'Università della Svizzera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italiana ed ottiene una cattedra presso la Scuola universitaria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professionale della Svizzera italiana, dove insegna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storia del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cinema[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1].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Nel 2004 viene nominato responsabile del Settore Cinema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della Fondazione La Biennale di Venezia e direttore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artistico della Mostra Internazionale d'Arte Cinematografica.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A fine 2011, dopo la scadenza del suo mandato,</w:t>
      </w:r>
      <w:r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bookmarkStart w:id="0" w:name="_GoBack"/>
      <w:bookmarkEnd w:id="0"/>
      <w:r w:rsidRPr="001A49B1">
        <w:rPr>
          <w:rFonts w:ascii="Book Antiqua" w:eastAsia="FreeSerif-Identity-H" w:hAnsi="Book Antiqua" w:cs="FreeSerif-Identity-H"/>
          <w:sz w:val="24"/>
          <w:szCs w:val="24"/>
        </w:rPr>
        <w:t>con un primato di otto anni consecutivi come direttore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artistico del festival veneziano, Müller non viene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più riconfermato nel suo incarico e gli subentra il critico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cinematografico Alberto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Barbera.[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2]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lastRenderedPageBreak/>
        <w:t>Nel marzo del 2012 viene nominato nuovo direttore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artistico del Festival Internazionale del Film di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Roma.[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3]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2 Filmografia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2.1 Produttore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Viaggio verso il sole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Yesim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Ustaoglu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(1999)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Moloch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Aleksandr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Sokurov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(1999)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Diciassette anni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, regia di Zhang Yuan (1999)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Lavagne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Samira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Makhmalbaf (2000)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No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Man’s</w:t>
      </w:r>
      <w:proofErr w:type="spellEnd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 Land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Danis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Tanovic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(2001)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Bicho</w:t>
      </w:r>
      <w:proofErr w:type="spellEnd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 de Sete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Cabeças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Laís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Bodanzky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>(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2001)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Il voto è segreto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Babak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Payami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(2001)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L'angelo della spalla destra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Jamshed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Usmonov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(2002)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Çamur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Derviş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Zaim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(2003)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Sud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pralad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Apichatpong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proofErr w:type="spellStart"/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Weerasethakul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>(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2004)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Il Sole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Aleksandr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Sokurov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(2005)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 xml:space="preserve">Face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Addict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regia di Edo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Bertoglio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(2005)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Grido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, regia di Pippo Delbono (2006)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3 Note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[1] Direttore - Marco Müller, labiennale.org. URL consultato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il 22 febbraio 2016 (archiviato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dall'url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originale il 20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dicembre 2010).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[2] Alberto Barbera è il nuovo direttore del Festival di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Venezia, badtaste.it. URL consultato il 27 dicembre 2011.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[3] Festival di Roma: Marco Müller è il nuovo direttore artistico,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movieplayer.it. URL consultato il 17 marzo 2012.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FreeSerif-Identity-H"/>
          <w:sz w:val="24"/>
          <w:szCs w:val="24"/>
        </w:rPr>
        <w:t>Carica che terminerà nel 2015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4 Altri progetti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proofErr w:type="spellStart"/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Wikimedia</w:t>
      </w:r>
      <w:proofErr w:type="spellEnd"/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 xml:space="preserve"> </w:t>
      </w:r>
      <w:proofErr w:type="spellStart"/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Commons</w:t>
      </w:r>
      <w:proofErr w:type="spellEnd"/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contiene immagini o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altri file su </w:t>
      </w: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Marco Müller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Bold"/>
          <w:b/>
          <w:bCs/>
          <w:sz w:val="24"/>
          <w:szCs w:val="24"/>
        </w:rPr>
      </w:pPr>
      <w:r w:rsidRPr="001A49B1">
        <w:rPr>
          <w:rFonts w:ascii="Book Antiqua" w:eastAsia="FreeSerif-Identity-H" w:hAnsi="Book Antiqua" w:cs="FreeSerifBold"/>
          <w:b/>
          <w:bCs/>
          <w:sz w:val="24"/>
          <w:szCs w:val="24"/>
        </w:rPr>
        <w:t>5 Collegamenti esterni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(EN) Marco Müller, in Internet Movie Database,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>IMDb.com.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  <w:r w:rsidRPr="001A49B1">
        <w:rPr>
          <w:rFonts w:ascii="Book Antiqua" w:eastAsia="FreeSerif-Identity-H" w:hAnsi="Book Antiqua" w:cs="CMSY10"/>
          <w:i/>
          <w:iCs/>
          <w:sz w:val="24"/>
          <w:szCs w:val="24"/>
        </w:rPr>
        <w:t xml:space="preserve">_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Diego Baratto, Nasce </w:t>
      </w:r>
      <w:proofErr w:type="spellStart"/>
      <w:r w:rsidRPr="001A49B1">
        <w:rPr>
          <w:rFonts w:ascii="Book Antiqua" w:eastAsia="FreeSerif-Identity-H" w:hAnsi="Book Antiqua" w:cs="FreeSerif-Identity-H"/>
          <w:sz w:val="24"/>
          <w:szCs w:val="24"/>
        </w:rPr>
        <w:t>Ca'Foscari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Cinema, con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 </w:t>
      </w:r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Marco Muller su </w:t>
      </w:r>
      <w:proofErr w:type="spellStart"/>
      <w:r w:rsidRPr="001A49B1">
        <w:rPr>
          <w:rFonts w:ascii="Book Antiqua" w:eastAsia="FreeSerif-Identity-H" w:hAnsi="Book Antiqua" w:cs="FreeSerifItalic-Identity-H"/>
          <w:i/>
          <w:iCs/>
          <w:sz w:val="24"/>
          <w:szCs w:val="24"/>
        </w:rPr>
        <w:t>NonSoloCinema</w:t>
      </w:r>
      <w:proofErr w:type="spellEnd"/>
      <w:r w:rsidRPr="001A49B1">
        <w:rPr>
          <w:rFonts w:ascii="Book Antiqua" w:eastAsia="FreeSerif-Identity-H" w:hAnsi="Book Antiqua" w:cs="FreeSerif-Identity-H"/>
          <w:sz w:val="24"/>
          <w:szCs w:val="24"/>
        </w:rPr>
        <w:t xml:space="preserve">, </w:t>
      </w:r>
      <w:proofErr w:type="gramStart"/>
      <w:r w:rsidRPr="001A49B1">
        <w:rPr>
          <w:rFonts w:ascii="Book Antiqua" w:eastAsia="FreeSerif-Identity-H" w:hAnsi="Book Antiqua" w:cs="FreeSerif-Identity-H"/>
          <w:sz w:val="24"/>
          <w:szCs w:val="24"/>
        </w:rPr>
        <w:t>Febbraio</w:t>
      </w:r>
      <w:proofErr w:type="gramEnd"/>
      <w:r w:rsidRPr="001A49B1">
        <w:rPr>
          <w:rFonts w:ascii="Book Antiqua" w:eastAsia="FreeSerif-Identity-H" w:hAnsi="Book Antiqua" w:cs="FreeSerif-Identity-H"/>
          <w:sz w:val="24"/>
          <w:szCs w:val="24"/>
        </w:rPr>
        <w:t>, 2011.</w:t>
      </w:r>
    </w:p>
    <w:p w:rsidR="001A49B1" w:rsidRPr="001A49B1" w:rsidRDefault="001A49B1" w:rsidP="001A49B1">
      <w:pPr>
        <w:autoSpaceDE w:val="0"/>
        <w:autoSpaceDN w:val="0"/>
        <w:adjustRightInd w:val="0"/>
        <w:spacing w:after="0" w:line="240" w:lineRule="auto"/>
        <w:rPr>
          <w:rFonts w:ascii="Book Antiqua" w:eastAsia="FreeSerif-Identity-H" w:hAnsi="Book Antiqua" w:cs="FreeSerif-Identity-H"/>
          <w:sz w:val="24"/>
          <w:szCs w:val="24"/>
        </w:rPr>
      </w:pPr>
    </w:p>
    <w:sectPr w:rsidR="001A49B1" w:rsidRPr="001A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erif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1A49B1"/>
    <w:rsid w:val="00A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5B2"/>
  <w15:chartTrackingRefBased/>
  <w15:docId w15:val="{3EAA8DDD-0CA5-4259-B5A7-3C0036C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2017-02-21T07:56:00Z</dcterms:created>
  <dcterms:modified xsi:type="dcterms:W3CDTF">2017-02-21T08:02:00Z</dcterms:modified>
</cp:coreProperties>
</file>